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4A92">
        <w:rPr>
          <w:rFonts w:ascii="Times New Roman" w:hAnsi="Times New Roman" w:cs="Times New Roman"/>
          <w:b/>
          <w:sz w:val="24"/>
          <w:szCs w:val="24"/>
        </w:rPr>
        <w:t>4.1.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574A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</w:t>
      </w:r>
      <w:r w:rsidR="00574A92">
        <w:rPr>
          <w:rFonts w:ascii="Times New Roman" w:hAnsi="Times New Roman" w:cs="Times New Roman"/>
          <w:sz w:val="24"/>
          <w:szCs w:val="24"/>
        </w:rPr>
        <w:t>15 февраля</w:t>
      </w:r>
      <w:r w:rsidR="00980C48">
        <w:rPr>
          <w:rFonts w:ascii="Times New Roman" w:hAnsi="Times New Roman" w:cs="Times New Roman"/>
          <w:sz w:val="24"/>
          <w:szCs w:val="24"/>
        </w:rPr>
        <w:t xml:space="preserve">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980C48" w:rsidTr="00B35C7A">
        <w:tc>
          <w:tcPr>
            <w:tcW w:w="2182" w:type="dxa"/>
          </w:tcPr>
          <w:p w:rsidR="00980C48" w:rsidRDefault="00980C48" w:rsidP="00703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980C48" w:rsidRDefault="00980C48" w:rsidP="00703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980C48" w:rsidRDefault="00980C48" w:rsidP="00703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"/>
        <w:gridCol w:w="138"/>
        <w:gridCol w:w="2178"/>
        <w:gridCol w:w="163"/>
        <w:gridCol w:w="336"/>
        <w:gridCol w:w="3282"/>
        <w:gridCol w:w="1275"/>
        <w:gridCol w:w="1560"/>
        <w:gridCol w:w="1573"/>
        <w:gridCol w:w="18"/>
      </w:tblGrid>
      <w:tr w:rsidR="00EB4C7F" w:rsidRPr="00771B79" w:rsidTr="00980C48">
        <w:trPr>
          <w:gridBefore w:val="1"/>
          <w:wBefore w:w="37" w:type="dxa"/>
        </w:trPr>
        <w:tc>
          <w:tcPr>
            <w:tcW w:w="2479" w:type="dxa"/>
            <w:gridSpan w:val="3"/>
            <w:vAlign w:val="center"/>
          </w:tcPr>
          <w:p w:rsidR="00EB4C7F" w:rsidRPr="00771B79" w:rsidRDefault="00EB4C7F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336" w:type="dxa"/>
            <w:vAlign w:val="center"/>
          </w:tcPr>
          <w:p w:rsidR="00EB4C7F" w:rsidRPr="00771B79" w:rsidRDefault="00EB4C7F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08" w:type="dxa"/>
            <w:gridSpan w:val="5"/>
            <w:vAlign w:val="center"/>
          </w:tcPr>
          <w:p w:rsidR="00EB4C7F" w:rsidRPr="00771B79" w:rsidRDefault="00EB4C7F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ГБУ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«Государственная кадастровая оценка»;</w:t>
            </w:r>
          </w:p>
        </w:tc>
      </w:tr>
      <w:tr w:rsidR="00E15EDC" w:rsidRPr="00771B79" w:rsidTr="00980C48">
        <w:trPr>
          <w:gridBefore w:val="1"/>
          <w:wBefore w:w="37" w:type="dxa"/>
        </w:trPr>
        <w:tc>
          <w:tcPr>
            <w:tcW w:w="2479" w:type="dxa"/>
            <w:gridSpan w:val="3"/>
            <w:vAlign w:val="center"/>
          </w:tcPr>
          <w:p w:rsidR="00E15EDC" w:rsidRPr="00771B79" w:rsidRDefault="00E15EDC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  <w:vAlign w:val="center"/>
          </w:tcPr>
          <w:p w:rsidR="00E15EDC" w:rsidRPr="00771B79" w:rsidRDefault="00E15EDC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08" w:type="dxa"/>
            <w:gridSpan w:val="5"/>
            <w:vAlign w:val="center"/>
          </w:tcPr>
          <w:p w:rsidR="00E15EDC" w:rsidRPr="00771B79" w:rsidRDefault="00E15EDC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  <w:r w:rsidRPr="00996835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</w:t>
            </w:r>
            <w:r w:rsidR="00C44F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12754D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542" w:type="dxa"/>
            <w:gridSpan w:val="9"/>
          </w:tcPr>
          <w:p w:rsidR="00E15EDC" w:rsidRDefault="00416653" w:rsidP="000C2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11A4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3011A4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301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011A4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C44F5E" w:rsidRPr="00574A9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011A4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3011A4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C44F5E" w:rsidRPr="00574A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C2FAA" w:rsidRPr="00574A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743C4" w:rsidRPr="00574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A92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574A92" w:rsidRPr="00574A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4F5E" w:rsidRPr="00574A92">
              <w:rPr>
                <w:rFonts w:ascii="Times New Roman" w:hAnsi="Times New Roman" w:cs="Times New Roman"/>
                <w:sz w:val="24"/>
                <w:szCs w:val="24"/>
              </w:rPr>
              <w:t>8.01.2021</w:t>
            </w:r>
            <w:r w:rsidR="000C2FAA" w:rsidRPr="00574A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4A92" w:rsidRPr="00574A92" w:rsidRDefault="00574A92" w:rsidP="000C2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F45" w:rsidRDefault="00416653" w:rsidP="00C44F5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44F5E"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C44F5E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пунктов:</w:t>
            </w:r>
          </w:p>
        </w:tc>
      </w:tr>
      <w:tr w:rsidR="00F03F45" w:rsidRPr="00A12F67" w:rsidTr="00217F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5" w:type="dxa"/>
        </w:trPr>
        <w:tc>
          <w:tcPr>
            <w:tcW w:w="2178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Кадастровые номера объектов</w:t>
            </w:r>
          </w:p>
        </w:tc>
        <w:tc>
          <w:tcPr>
            <w:tcW w:w="3781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59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217F5C" w:rsidRPr="00217F5C" w:rsidTr="00217F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5" w:type="dxa"/>
        </w:trPr>
        <w:tc>
          <w:tcPr>
            <w:tcW w:w="2178" w:type="dxa"/>
            <w:vAlign w:val="center"/>
          </w:tcPr>
          <w:p w:rsidR="00217F5C" w:rsidRPr="006E31EF" w:rsidRDefault="00217F5C" w:rsidP="005617A3">
            <w:pPr>
              <w:jc w:val="center"/>
              <w:rPr>
                <w:rFonts w:ascii="Times New Roman" w:hAnsi="Times New Roman" w:cs="Times New Roman"/>
              </w:rPr>
            </w:pPr>
            <w:r w:rsidRPr="00217F5C">
              <w:rPr>
                <w:rFonts w:ascii="Times New Roman" w:hAnsi="Times New Roman" w:cs="Times New Roman"/>
              </w:rPr>
              <w:t>58:07:0660103:147</w:t>
            </w:r>
          </w:p>
        </w:tc>
        <w:tc>
          <w:tcPr>
            <w:tcW w:w="3781" w:type="dxa"/>
            <w:gridSpan w:val="3"/>
            <w:vAlign w:val="center"/>
          </w:tcPr>
          <w:p w:rsidR="00217F5C" w:rsidRPr="00111EEB" w:rsidRDefault="00217F5C" w:rsidP="00F97080">
            <w:pPr>
              <w:jc w:val="center"/>
              <w:rPr>
                <w:rFonts w:ascii="Times New Roman" w:hAnsi="Times New Roman" w:cs="Times New Roman"/>
              </w:rPr>
            </w:pPr>
            <w:r w:rsidRPr="00217F5C"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 w:rsidRPr="00217F5C">
              <w:rPr>
                <w:rFonts w:ascii="Times New Roman" w:hAnsi="Times New Roman" w:cs="Times New Roman"/>
              </w:rPr>
              <w:t>Городищенский</w:t>
            </w:r>
            <w:proofErr w:type="spellEnd"/>
            <w:r w:rsidRPr="00217F5C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217F5C">
              <w:rPr>
                <w:rFonts w:ascii="Times New Roman" w:hAnsi="Times New Roman" w:cs="Times New Roman"/>
              </w:rPr>
              <w:t>рп</w:t>
            </w:r>
            <w:proofErr w:type="spellEnd"/>
            <w:r w:rsidRPr="00217F5C">
              <w:rPr>
                <w:rFonts w:ascii="Times New Roman" w:hAnsi="Times New Roman" w:cs="Times New Roman"/>
              </w:rPr>
              <w:t xml:space="preserve"> Чаадаевка, ул</w:t>
            </w:r>
            <w:proofErr w:type="gramStart"/>
            <w:r w:rsidRPr="00217F5C">
              <w:rPr>
                <w:rFonts w:ascii="Times New Roman" w:hAnsi="Times New Roman" w:cs="Times New Roman"/>
              </w:rPr>
              <w:t>.З</w:t>
            </w:r>
            <w:proofErr w:type="gramEnd"/>
            <w:r w:rsidRPr="00217F5C">
              <w:rPr>
                <w:rFonts w:ascii="Times New Roman" w:hAnsi="Times New Roman" w:cs="Times New Roman"/>
              </w:rPr>
              <w:t>аводская,5</w:t>
            </w:r>
          </w:p>
        </w:tc>
        <w:tc>
          <w:tcPr>
            <w:tcW w:w="1275" w:type="dxa"/>
            <w:vAlign w:val="center"/>
          </w:tcPr>
          <w:p w:rsidR="00217F5C" w:rsidRPr="00217F5C" w:rsidRDefault="00217F5C" w:rsidP="00217F5C">
            <w:pPr>
              <w:jc w:val="center"/>
              <w:rPr>
                <w:rFonts w:ascii="Times New Roman" w:hAnsi="Times New Roman" w:cs="Times New Roman"/>
              </w:rPr>
            </w:pPr>
            <w:r w:rsidRPr="00217F5C">
              <w:rPr>
                <w:rFonts w:ascii="Times New Roman" w:hAnsi="Times New Roman" w:cs="Times New Roman"/>
              </w:rPr>
              <w:t>5044,6</w:t>
            </w:r>
          </w:p>
        </w:tc>
        <w:tc>
          <w:tcPr>
            <w:tcW w:w="1560" w:type="dxa"/>
            <w:vAlign w:val="center"/>
          </w:tcPr>
          <w:p w:rsidR="00217F5C" w:rsidRPr="00217F5C" w:rsidRDefault="00217F5C" w:rsidP="00217F5C">
            <w:pPr>
              <w:jc w:val="center"/>
              <w:rPr>
                <w:rFonts w:ascii="Times New Roman" w:hAnsi="Times New Roman" w:cs="Times New Roman"/>
              </w:rPr>
            </w:pPr>
            <w:r w:rsidRPr="00217F5C">
              <w:rPr>
                <w:rFonts w:ascii="Times New Roman" w:hAnsi="Times New Roman" w:cs="Times New Roman"/>
              </w:rPr>
              <w:t>12 373 274,96</w:t>
            </w:r>
          </w:p>
        </w:tc>
        <w:tc>
          <w:tcPr>
            <w:tcW w:w="1591" w:type="dxa"/>
            <w:gridSpan w:val="2"/>
            <w:vAlign w:val="center"/>
          </w:tcPr>
          <w:p w:rsidR="00217F5C" w:rsidRPr="00217F5C" w:rsidRDefault="00217F5C" w:rsidP="00217F5C">
            <w:pPr>
              <w:jc w:val="center"/>
              <w:rPr>
                <w:rFonts w:ascii="Times New Roman" w:hAnsi="Times New Roman" w:cs="Times New Roman"/>
              </w:rPr>
            </w:pPr>
            <w:r w:rsidRPr="00217F5C">
              <w:rPr>
                <w:rFonts w:ascii="Times New Roman" w:hAnsi="Times New Roman" w:cs="Times New Roman"/>
              </w:rPr>
              <w:t>6 476 500</w:t>
            </w:r>
          </w:p>
        </w:tc>
      </w:tr>
    </w:tbl>
    <w:p w:rsidR="009B64DB" w:rsidRPr="00217F5C" w:rsidRDefault="009B64DB" w:rsidP="009B64D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7F5C">
        <w:rPr>
          <w:rFonts w:ascii="Times New Roman" w:hAnsi="Times New Roman" w:cs="Times New Roman"/>
          <w:sz w:val="24"/>
          <w:szCs w:val="24"/>
        </w:rPr>
        <w:t>Отчет об оценке № ОЦ-2376-20 от 26.10.202</w:t>
      </w:r>
      <w:r w:rsidR="00217F5C" w:rsidRPr="00217F5C">
        <w:rPr>
          <w:rFonts w:ascii="Times New Roman" w:hAnsi="Times New Roman" w:cs="Times New Roman"/>
          <w:sz w:val="24"/>
          <w:szCs w:val="24"/>
        </w:rPr>
        <w:t>0</w:t>
      </w:r>
      <w:r w:rsidRPr="00217F5C">
        <w:rPr>
          <w:rFonts w:ascii="Times New Roman" w:hAnsi="Times New Roman" w:cs="Times New Roman"/>
          <w:sz w:val="24"/>
          <w:szCs w:val="24"/>
        </w:rPr>
        <w:t xml:space="preserve"> года подготовлен ООО «Центр независимой экспертизы». </w:t>
      </w:r>
    </w:p>
    <w:p w:rsidR="009B64DB" w:rsidRPr="00217F5C" w:rsidRDefault="009B64DB" w:rsidP="009B64DB">
      <w:pPr>
        <w:pStyle w:val="Default"/>
        <w:spacing w:before="120"/>
        <w:ind w:firstLine="567"/>
        <w:jc w:val="both"/>
        <w:rPr>
          <w:color w:val="auto"/>
        </w:rPr>
      </w:pPr>
      <w:r w:rsidRPr="00217F5C">
        <w:t xml:space="preserve">Оценщик: </w:t>
      </w:r>
      <w:r w:rsidRPr="00217F5C">
        <w:rPr>
          <w:color w:val="auto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217F5C">
        <w:rPr>
          <w:color w:val="auto"/>
        </w:rPr>
        <w:t>.М</w:t>
      </w:r>
      <w:proofErr w:type="gramEnd"/>
      <w:r w:rsidRPr="00217F5C">
        <w:rPr>
          <w:color w:val="auto"/>
        </w:rPr>
        <w:t>осква, ул.Ленинская Слобода, д.19 БЦ «Омега Плаза»).</w:t>
      </w:r>
    </w:p>
    <w:p w:rsidR="00E41763" w:rsidRPr="00217F5C" w:rsidRDefault="00217F5C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7F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7019" w:rsidRPr="00217F5C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 w:rsidR="00CE7019" w:rsidRPr="00217F5C"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 w:rsidRPr="00217F5C">
        <w:rPr>
          <w:rFonts w:ascii="Times New Roman" w:hAnsi="Times New Roman" w:cs="Times New Roman"/>
          <w:sz w:val="24"/>
          <w:szCs w:val="24"/>
        </w:rPr>
        <w:t>федерального закона от 03.07.2016 № 237-ФЗ «О государственной кадастровой оценке»).</w:t>
      </w:r>
    </w:p>
    <w:p w:rsidR="00770A55" w:rsidRPr="00217F5C" w:rsidRDefault="005E341A" w:rsidP="00EB456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7F5C">
        <w:rPr>
          <w:rFonts w:ascii="Times New Roman" w:hAnsi="Times New Roman" w:cs="Times New Roman"/>
          <w:b/>
          <w:sz w:val="24"/>
          <w:szCs w:val="24"/>
        </w:rPr>
        <w:lastRenderedPageBreak/>
        <w:t>Результаты голосования</w:t>
      </w:r>
      <w:r w:rsidRPr="00217F5C">
        <w:rPr>
          <w:sz w:val="24"/>
          <w:szCs w:val="24"/>
        </w:rPr>
        <w:t xml:space="preserve"> </w:t>
      </w:r>
      <w:r w:rsidR="00770A55" w:rsidRPr="00217F5C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217F5C" w:rsidRPr="00217F5C">
        <w:rPr>
          <w:rFonts w:ascii="Times New Roman" w:hAnsi="Times New Roman" w:cs="Times New Roman"/>
          <w:sz w:val="24"/>
          <w:szCs w:val="24"/>
        </w:rPr>
        <w:t>58:07:0660103:147</w:t>
      </w:r>
      <w:r w:rsidR="000C2FAA" w:rsidRPr="00217F5C">
        <w:rPr>
          <w:rFonts w:ascii="Times New Roman" w:hAnsi="Times New Roman" w:cs="Times New Roman"/>
          <w:sz w:val="24"/>
          <w:szCs w:val="24"/>
        </w:rPr>
        <w:t xml:space="preserve"> </w:t>
      </w:r>
      <w:r w:rsidR="00770A55" w:rsidRPr="00217F5C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735A98" w:rsidRPr="00217F5C" w:rsidRDefault="00735A98" w:rsidP="00735A9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7F5C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217F5C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735A98" w:rsidRPr="00217F5C" w:rsidRDefault="00735A98" w:rsidP="00735A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7F5C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735A98" w:rsidRPr="00217F5C" w:rsidRDefault="00735A98" w:rsidP="00735A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7F5C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735A98" w:rsidRPr="00217F5C" w:rsidRDefault="00735A98" w:rsidP="00735A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7F5C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EB4562" w:rsidRPr="00217F5C" w:rsidRDefault="00EB4562" w:rsidP="00EB45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7F5C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217F5C" w:rsidRPr="00217F5C" w:rsidRDefault="005E341A" w:rsidP="00217F5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7F5C">
        <w:rPr>
          <w:rFonts w:ascii="Times New Roman" w:hAnsi="Times New Roman" w:cs="Times New Roman"/>
          <w:b/>
          <w:sz w:val="24"/>
          <w:szCs w:val="24"/>
        </w:rPr>
        <w:t>РЕШИЛИ</w:t>
      </w:r>
      <w:r w:rsidRPr="00217F5C">
        <w:rPr>
          <w:rFonts w:ascii="Times New Roman" w:hAnsi="Times New Roman" w:cs="Times New Roman"/>
          <w:sz w:val="24"/>
          <w:szCs w:val="24"/>
        </w:rPr>
        <w:t xml:space="preserve">: </w:t>
      </w:r>
      <w:r w:rsidR="00217F5C" w:rsidRPr="00217F5C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3011A4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3011A4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3011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11A4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3011A4">
        <w:rPr>
          <w:rFonts w:ascii="Times New Roman" w:hAnsi="Times New Roman" w:cs="Times New Roman"/>
          <w:sz w:val="24"/>
          <w:szCs w:val="24"/>
        </w:rPr>
        <w:t xml:space="preserve"> </w:t>
      </w:r>
      <w:r w:rsidR="00217F5C" w:rsidRPr="00217F5C">
        <w:rPr>
          <w:rFonts w:ascii="Times New Roman" w:hAnsi="Times New Roman" w:cs="Times New Roman"/>
          <w:sz w:val="24"/>
          <w:szCs w:val="24"/>
        </w:rPr>
        <w:t>от 28.12.2020 об установлении кадастровой стоимости объекта недвижимости с кадастровым номером 58:07:0660103:147 в размере его рыночной.</w:t>
      </w:r>
    </w:p>
    <w:p w:rsidR="0082644D" w:rsidRPr="00217F5C" w:rsidRDefault="005E341A" w:rsidP="00F9708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7F5C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 w:rsidRPr="00217F5C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Hlk7517294"/>
    </w:p>
    <w:p w:rsidR="00217F5C" w:rsidRPr="00217F5C" w:rsidRDefault="00217F5C" w:rsidP="00217F5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17F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Анализ рынка состоит из выборки из 5 аналогов земель производственно-складского назначения (3 участвуют в расчете) и 5 аналогов нежилых зданий производственно-складского назначения, но в расчете стоимости участвуют объекты не из анализируемой выборки. В связи с малым количеством исследуемых объектов, анализ фактических данных о ценах сделок и предложений с объектами недвижимости может показывать некорректные интервалы значений цен, а сделанные выводы относительно рынка недвижимости в данном сегменте искажают рыночную информацию. Нарушение п. 11 ФСО №7.</w:t>
      </w:r>
    </w:p>
    <w:p w:rsidR="00217F5C" w:rsidRPr="00217F5C" w:rsidRDefault="00217F5C" w:rsidP="00217F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17F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Земельный участок, на котором расположен объект оценки, относится к сегменту «земельные участки под придорожный сервис». Объекты придорожного сервиса – это здания и сооружения, расположенные на придорожной полосе и предназначенные для обслуживания участников дорожного движения в пути следования (мотели, гостиницы, кемпинги, станции технического обслуживания, автозаправочные станции, пункты питания, торговли, связи, медицинской помощи, мойки, средства рекламы и иные сооружения). Земельные участки данного сегмента подразумевается использовать с наибольшей коммерческой выгодой, чем участки под производственно-складскую недвижимость, и имеют высокий экономический потенциал, находясь вблизи крупных развязок автодорог и магистралей. Таким образом, к участку-аналогу №3 следует применить понижающую поправку. Нарушение ФСО №3 п.5.</w:t>
      </w:r>
    </w:p>
    <w:p w:rsidR="00217F5C" w:rsidRPr="00217F5C" w:rsidRDefault="00217F5C" w:rsidP="00217F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17F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Статус населенного пункта местоположения объекта оценки – «прочие населенные пункты». Объекты-аналоги №2,5 расположены в «райцентрах сельскохозяйственных районов», объекты-аналоги №1,4 расположены в «прочих населенных пунктах», но население составляет всего 1441чел. и 3065 чел. соответственно, в то время как в </w:t>
      </w:r>
      <w:proofErr w:type="spellStart"/>
      <w:r w:rsidRPr="00217F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пгт</w:t>
      </w:r>
      <w:proofErr w:type="spellEnd"/>
      <w:r w:rsidRPr="00217F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Чаадаевка – 6891чел., а </w:t>
      </w:r>
      <w:proofErr w:type="gramStart"/>
      <w:r w:rsidRPr="00217F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значит</w:t>
      </w:r>
      <w:proofErr w:type="gramEnd"/>
      <w:r w:rsidRPr="00217F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оцениваемый объект имеет преимущество по </w:t>
      </w:r>
      <w:proofErr w:type="spellStart"/>
      <w:r w:rsidRPr="00217F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ценообразующему</w:t>
      </w:r>
      <w:proofErr w:type="spellEnd"/>
      <w:r w:rsidRPr="00217F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фактору «статус населенного пункта». Содержание отчета вводит в заблуждение его пользователей. Нарушение п. 5 ФСО №3.</w:t>
      </w:r>
    </w:p>
    <w:p w:rsidR="00217F5C" w:rsidRPr="00217F5C" w:rsidRDefault="00217F5C" w:rsidP="00217F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217F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Выделении стоимости земельного участка из ЕОН некорректно, поскольку в качестве объектов-аналогов в сравнительном подходе используются и нежилые помещения, и единые объекты недвижимости, включающие в свой состав земельные участки различной площади и имеющие отличия.</w:t>
      </w:r>
      <w:proofErr w:type="gramEnd"/>
      <w:r w:rsidRPr="00217F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Учитывая различные характеристики земельных участков, наиболее корректно произвести «очистку» ЕОН от вклада стоимости прав на земельный участок «на входе», т.е. стоимость </w:t>
      </w:r>
      <w:proofErr w:type="spellStart"/>
      <w:r w:rsidRPr="00217F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ЕОН-аналогов</w:t>
      </w:r>
      <w:proofErr w:type="spellEnd"/>
      <w:r w:rsidRPr="00217F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уменьшается на стоимость прав относящихся к ним земельных участков. Некорректное выделение доли земли из цен аналогов приводит к некорректному определению стоимости объекта капитального строительства. А также, не установлен «тип объекта» аналогов (встроенное помещение или отдельно стоящее здание). Содержание отчета об оценке вводит в заблуждение заказчика оценки и иных заинтересованных лиц, а также допускает неоднозначное толкование полученных результатов. Нарушение п. 5 ФСО №3, ст. 11 ФЗ-135.</w:t>
      </w:r>
    </w:p>
    <w:p w:rsidR="00BD6D8F" w:rsidRPr="00217F5C" w:rsidRDefault="00BD6D8F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4192" w:rsidRPr="00217F5C" w:rsidRDefault="004F4192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0"/>
        <w:gridCol w:w="1933"/>
        <w:gridCol w:w="3285"/>
      </w:tblGrid>
      <w:tr w:rsidR="00217F5C" w:rsidRPr="00217F5C" w:rsidTr="00217F5C">
        <w:tc>
          <w:tcPr>
            <w:tcW w:w="5130" w:type="dxa"/>
            <w:hideMark/>
          </w:tcPr>
          <w:p w:rsidR="00217F5C" w:rsidRPr="00217F5C" w:rsidRDefault="00217F5C" w:rsidP="00217F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7F5C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7F5C" w:rsidRPr="00217F5C" w:rsidRDefault="00217F5C" w:rsidP="0021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  <w:hideMark/>
          </w:tcPr>
          <w:p w:rsidR="00217F5C" w:rsidRPr="00217F5C" w:rsidRDefault="00217F5C" w:rsidP="0021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F5C"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 w:rsidRPr="00217F5C"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217F5C" w:rsidRPr="00217F5C" w:rsidTr="00217F5C">
        <w:tc>
          <w:tcPr>
            <w:tcW w:w="5130" w:type="dxa"/>
          </w:tcPr>
          <w:p w:rsidR="00217F5C" w:rsidRPr="00217F5C" w:rsidRDefault="00217F5C" w:rsidP="00217F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7F5C" w:rsidRPr="00217F5C" w:rsidRDefault="00217F5C" w:rsidP="0021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217F5C" w:rsidRPr="00217F5C" w:rsidRDefault="00217F5C" w:rsidP="0021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F5C" w:rsidRPr="00217F5C" w:rsidTr="00217F5C">
        <w:tc>
          <w:tcPr>
            <w:tcW w:w="5130" w:type="dxa"/>
            <w:hideMark/>
          </w:tcPr>
          <w:p w:rsidR="00217F5C" w:rsidRPr="00217F5C" w:rsidRDefault="00217F5C" w:rsidP="00217F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7F5C"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7F5C" w:rsidRPr="00217F5C" w:rsidRDefault="00217F5C" w:rsidP="0021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  <w:hideMark/>
          </w:tcPr>
          <w:p w:rsidR="00217F5C" w:rsidRPr="00217F5C" w:rsidRDefault="00217F5C" w:rsidP="0021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F5C"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BD6D8F" w:rsidRPr="00217F5C" w:rsidRDefault="00BD6D8F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5E341A" w:rsidRPr="00217F5C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RPr="00217F5C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C2FAA"/>
    <w:rsid w:val="000D217F"/>
    <w:rsid w:val="000E121C"/>
    <w:rsid w:val="000E2E1C"/>
    <w:rsid w:val="000F6087"/>
    <w:rsid w:val="0010339C"/>
    <w:rsid w:val="00111EEB"/>
    <w:rsid w:val="00117A04"/>
    <w:rsid w:val="001249CD"/>
    <w:rsid w:val="00124F06"/>
    <w:rsid w:val="00125CAB"/>
    <w:rsid w:val="001269D3"/>
    <w:rsid w:val="0012754D"/>
    <w:rsid w:val="001330C7"/>
    <w:rsid w:val="001669BC"/>
    <w:rsid w:val="001717B1"/>
    <w:rsid w:val="00175D8A"/>
    <w:rsid w:val="00181286"/>
    <w:rsid w:val="0018347D"/>
    <w:rsid w:val="00185600"/>
    <w:rsid w:val="001A276D"/>
    <w:rsid w:val="001C2383"/>
    <w:rsid w:val="001D7DC4"/>
    <w:rsid w:val="001E02F7"/>
    <w:rsid w:val="001F18B3"/>
    <w:rsid w:val="001F2502"/>
    <w:rsid w:val="00203112"/>
    <w:rsid w:val="00217F5C"/>
    <w:rsid w:val="00224634"/>
    <w:rsid w:val="00230BA2"/>
    <w:rsid w:val="00230C8D"/>
    <w:rsid w:val="00233444"/>
    <w:rsid w:val="0024221C"/>
    <w:rsid w:val="0024249E"/>
    <w:rsid w:val="00242DDF"/>
    <w:rsid w:val="00245521"/>
    <w:rsid w:val="00251598"/>
    <w:rsid w:val="00263CDE"/>
    <w:rsid w:val="00270A08"/>
    <w:rsid w:val="00271A63"/>
    <w:rsid w:val="002743C4"/>
    <w:rsid w:val="0027519E"/>
    <w:rsid w:val="00284D7F"/>
    <w:rsid w:val="00287F89"/>
    <w:rsid w:val="002914A0"/>
    <w:rsid w:val="00292BCF"/>
    <w:rsid w:val="00294BD7"/>
    <w:rsid w:val="002A429F"/>
    <w:rsid w:val="002A7804"/>
    <w:rsid w:val="002B5550"/>
    <w:rsid w:val="002C2C38"/>
    <w:rsid w:val="002E0254"/>
    <w:rsid w:val="003011A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16653"/>
    <w:rsid w:val="004243E6"/>
    <w:rsid w:val="004244DC"/>
    <w:rsid w:val="00453536"/>
    <w:rsid w:val="004567EA"/>
    <w:rsid w:val="0046024A"/>
    <w:rsid w:val="00474E0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4F3CF1"/>
    <w:rsid w:val="004F4192"/>
    <w:rsid w:val="00501A36"/>
    <w:rsid w:val="00512821"/>
    <w:rsid w:val="0051577A"/>
    <w:rsid w:val="005457F5"/>
    <w:rsid w:val="00545853"/>
    <w:rsid w:val="00547ECC"/>
    <w:rsid w:val="005617A3"/>
    <w:rsid w:val="005617E7"/>
    <w:rsid w:val="00564070"/>
    <w:rsid w:val="00573B8F"/>
    <w:rsid w:val="00574A92"/>
    <w:rsid w:val="00593D2D"/>
    <w:rsid w:val="005A2E94"/>
    <w:rsid w:val="005B2066"/>
    <w:rsid w:val="005B25B3"/>
    <w:rsid w:val="005B30FC"/>
    <w:rsid w:val="005E1862"/>
    <w:rsid w:val="005E341A"/>
    <w:rsid w:val="005E546D"/>
    <w:rsid w:val="005E7FAE"/>
    <w:rsid w:val="005F69C4"/>
    <w:rsid w:val="006033C6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B67F8"/>
    <w:rsid w:val="006D09D9"/>
    <w:rsid w:val="006D4BF1"/>
    <w:rsid w:val="006D6969"/>
    <w:rsid w:val="006D7334"/>
    <w:rsid w:val="006E00C9"/>
    <w:rsid w:val="006E027C"/>
    <w:rsid w:val="00703118"/>
    <w:rsid w:val="00703AB7"/>
    <w:rsid w:val="007056DA"/>
    <w:rsid w:val="007306CE"/>
    <w:rsid w:val="0073411D"/>
    <w:rsid w:val="00735A98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C42B1"/>
    <w:rsid w:val="008D2CF8"/>
    <w:rsid w:val="008D4225"/>
    <w:rsid w:val="008D6DAA"/>
    <w:rsid w:val="008E0703"/>
    <w:rsid w:val="008F4748"/>
    <w:rsid w:val="0091001C"/>
    <w:rsid w:val="00917BFD"/>
    <w:rsid w:val="0092311A"/>
    <w:rsid w:val="00930786"/>
    <w:rsid w:val="00931828"/>
    <w:rsid w:val="00933B62"/>
    <w:rsid w:val="00953189"/>
    <w:rsid w:val="00957B85"/>
    <w:rsid w:val="00980C48"/>
    <w:rsid w:val="00982D7D"/>
    <w:rsid w:val="00994B23"/>
    <w:rsid w:val="00997BB0"/>
    <w:rsid w:val="009A02EF"/>
    <w:rsid w:val="009A3A71"/>
    <w:rsid w:val="009B64DB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0DB6"/>
    <w:rsid w:val="00A42E79"/>
    <w:rsid w:val="00A45F15"/>
    <w:rsid w:val="00A624CE"/>
    <w:rsid w:val="00A71FDE"/>
    <w:rsid w:val="00A91628"/>
    <w:rsid w:val="00A926C1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D6D8F"/>
    <w:rsid w:val="00BF0B6C"/>
    <w:rsid w:val="00C00EA8"/>
    <w:rsid w:val="00C016E6"/>
    <w:rsid w:val="00C01D74"/>
    <w:rsid w:val="00C061DA"/>
    <w:rsid w:val="00C074FF"/>
    <w:rsid w:val="00C20286"/>
    <w:rsid w:val="00C20B25"/>
    <w:rsid w:val="00C27B1C"/>
    <w:rsid w:val="00C30D65"/>
    <w:rsid w:val="00C400D9"/>
    <w:rsid w:val="00C44354"/>
    <w:rsid w:val="00C44F5E"/>
    <w:rsid w:val="00C60EB8"/>
    <w:rsid w:val="00C62D7E"/>
    <w:rsid w:val="00C7708A"/>
    <w:rsid w:val="00C84A14"/>
    <w:rsid w:val="00CA2A64"/>
    <w:rsid w:val="00CA5212"/>
    <w:rsid w:val="00CA75A6"/>
    <w:rsid w:val="00CB17F1"/>
    <w:rsid w:val="00CB6360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0726"/>
    <w:rsid w:val="00DB1536"/>
    <w:rsid w:val="00DB2B4A"/>
    <w:rsid w:val="00DE1FEF"/>
    <w:rsid w:val="00DE7017"/>
    <w:rsid w:val="00DF00DE"/>
    <w:rsid w:val="00DF1EE6"/>
    <w:rsid w:val="00DF24D1"/>
    <w:rsid w:val="00E059A9"/>
    <w:rsid w:val="00E13FCA"/>
    <w:rsid w:val="00E15EDC"/>
    <w:rsid w:val="00E2242E"/>
    <w:rsid w:val="00E33B55"/>
    <w:rsid w:val="00E35E9B"/>
    <w:rsid w:val="00E37861"/>
    <w:rsid w:val="00E41763"/>
    <w:rsid w:val="00E418FD"/>
    <w:rsid w:val="00E44027"/>
    <w:rsid w:val="00E47724"/>
    <w:rsid w:val="00E67DB8"/>
    <w:rsid w:val="00E85BB7"/>
    <w:rsid w:val="00E93827"/>
    <w:rsid w:val="00E97122"/>
    <w:rsid w:val="00EA2772"/>
    <w:rsid w:val="00EB4562"/>
    <w:rsid w:val="00EB4C7F"/>
    <w:rsid w:val="00EB6E3A"/>
    <w:rsid w:val="00EC1A2B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93EB4"/>
    <w:rsid w:val="00F97080"/>
    <w:rsid w:val="00FA06BB"/>
    <w:rsid w:val="00FA0F0E"/>
    <w:rsid w:val="00FA6C5E"/>
    <w:rsid w:val="00FA6DF4"/>
    <w:rsid w:val="00FA7274"/>
    <w:rsid w:val="00FB3A6F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416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C01D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cp:lastPrinted>2020-12-26T11:19:00Z</cp:lastPrinted>
  <dcterms:created xsi:type="dcterms:W3CDTF">2021-02-18T13:17:00Z</dcterms:created>
  <dcterms:modified xsi:type="dcterms:W3CDTF">2021-02-18T13:29:00Z</dcterms:modified>
</cp:coreProperties>
</file>